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BBF7AC" w14:textId="77777777" w:rsidR="00EA0BB2" w:rsidRDefault="00EA0BB2" w:rsidP="00EA0BB2">
      <w:pPr>
        <w:pStyle w:val="Default"/>
      </w:pPr>
    </w:p>
    <w:p w14:paraId="798343EC" w14:textId="5A7DE253" w:rsidR="00EA0BB2" w:rsidRPr="00EA0BB2" w:rsidRDefault="00EA0BB2" w:rsidP="00EA0BB2">
      <w:pPr>
        <w:pStyle w:val="Default"/>
        <w:jc w:val="center"/>
        <w:rPr>
          <w:b/>
          <w:sz w:val="28"/>
          <w:szCs w:val="28"/>
          <w:lang w:val="fr-FR"/>
        </w:rPr>
      </w:pPr>
      <w:r w:rsidRPr="00EA0BB2">
        <w:rPr>
          <w:b/>
          <w:sz w:val="28"/>
          <w:szCs w:val="28"/>
          <w:lang w:val="fr-FR"/>
        </w:rPr>
        <w:t>Québec: Conseil supérieur de l’éducation</w:t>
      </w:r>
    </w:p>
    <w:p w14:paraId="7D5A20B7" w14:textId="77777777" w:rsidR="00EA0BB2" w:rsidRDefault="00EA0BB2" w:rsidP="00EA0BB2">
      <w:pPr>
        <w:pStyle w:val="Default"/>
        <w:jc w:val="center"/>
      </w:pPr>
    </w:p>
    <w:p w14:paraId="3BD1B96F" w14:textId="6C9A7A7E" w:rsidR="00EA0BB2" w:rsidRPr="009A3745" w:rsidRDefault="00EA0BB2" w:rsidP="00EA0BB2">
      <w:pPr>
        <w:pStyle w:val="Default"/>
        <w:jc w:val="center"/>
        <w:rPr>
          <w:lang w:val="fr-FR"/>
        </w:rPr>
      </w:pPr>
      <w:r w:rsidRPr="009A3745">
        <w:rPr>
          <w:b/>
          <w:bCs/>
          <w:lang w:val="fr-FR"/>
        </w:rPr>
        <w:t>Consultation sur la formation à distance</w:t>
      </w:r>
    </w:p>
    <w:p w14:paraId="29FE94C2" w14:textId="77C3A52C" w:rsidR="00EA0BB2" w:rsidRPr="009A3745" w:rsidRDefault="00EA0BB2" w:rsidP="00EA0BB2">
      <w:pPr>
        <w:pStyle w:val="Default"/>
        <w:jc w:val="center"/>
        <w:rPr>
          <w:b/>
          <w:bCs/>
          <w:lang w:val="fr-FR"/>
        </w:rPr>
      </w:pPr>
      <w:r w:rsidRPr="009A3745">
        <w:rPr>
          <w:b/>
          <w:bCs/>
          <w:lang w:val="fr-FR"/>
        </w:rPr>
        <w:t>à la Commission de l’enseignement et de la recherche universitaires (CERU)</w:t>
      </w:r>
    </w:p>
    <w:p w14:paraId="2A6080D7" w14:textId="77777777" w:rsidR="00EA0BB2" w:rsidRPr="009A3745" w:rsidRDefault="00EA0BB2" w:rsidP="00EA0BB2">
      <w:pPr>
        <w:pStyle w:val="Default"/>
        <w:jc w:val="center"/>
        <w:rPr>
          <w:b/>
          <w:bCs/>
          <w:lang w:val="fr-FR"/>
        </w:rPr>
      </w:pPr>
    </w:p>
    <w:p w14:paraId="793A28E0" w14:textId="1C7D9D3A" w:rsidR="00EA0BB2" w:rsidRPr="009A3745" w:rsidRDefault="00B3300B" w:rsidP="00EA0BB2">
      <w:pPr>
        <w:pStyle w:val="Default"/>
        <w:jc w:val="center"/>
        <w:rPr>
          <w:b/>
          <w:bCs/>
          <w:i/>
          <w:lang w:val="fr-FR"/>
        </w:rPr>
      </w:pPr>
      <w:r w:rsidRPr="009A3745">
        <w:rPr>
          <w:b/>
          <w:bCs/>
          <w:i/>
          <w:lang w:val="fr-FR"/>
        </w:rPr>
        <w:t xml:space="preserve">La </w:t>
      </w:r>
      <w:r w:rsidR="00EA0BB2" w:rsidRPr="009A3745">
        <w:rPr>
          <w:b/>
          <w:bCs/>
          <w:i/>
          <w:lang w:val="fr-FR"/>
        </w:rPr>
        <w:t>formation a distance</w:t>
      </w:r>
      <w:r w:rsidRPr="009A3745">
        <w:rPr>
          <w:b/>
          <w:bCs/>
          <w:i/>
          <w:lang w:val="fr-FR"/>
        </w:rPr>
        <w:t xml:space="preserve"> et les universités </w:t>
      </w:r>
      <w:proofErr w:type="spellStart"/>
      <w:r w:rsidRPr="009A3745">
        <w:rPr>
          <w:b/>
          <w:bCs/>
          <w:i/>
          <w:lang w:val="fr-FR"/>
        </w:rPr>
        <w:t>québecoises</w:t>
      </w:r>
      <w:proofErr w:type="spellEnd"/>
    </w:p>
    <w:p w14:paraId="55B0C5F2" w14:textId="77777777" w:rsidR="00EA0BB2" w:rsidRPr="009A3745" w:rsidRDefault="00EA0BB2" w:rsidP="00EA0BB2">
      <w:pPr>
        <w:pStyle w:val="Default"/>
        <w:jc w:val="center"/>
        <w:rPr>
          <w:bCs/>
          <w:lang w:val="fr-FR"/>
        </w:rPr>
      </w:pPr>
      <w:r w:rsidRPr="009A3745">
        <w:rPr>
          <w:bCs/>
          <w:lang w:val="fr-FR"/>
        </w:rPr>
        <w:t>Sir John Daniel, OC</w:t>
      </w:r>
    </w:p>
    <w:p w14:paraId="71019ABF" w14:textId="77777777" w:rsidR="001615D2" w:rsidRDefault="001615D2" w:rsidP="00EA0BB2">
      <w:pPr>
        <w:pStyle w:val="Default"/>
        <w:jc w:val="center"/>
        <w:rPr>
          <w:bCs/>
          <w:sz w:val="22"/>
          <w:szCs w:val="22"/>
          <w:lang w:val="fr-FR"/>
        </w:rPr>
      </w:pPr>
    </w:p>
    <w:p w14:paraId="659A787C" w14:textId="77777777" w:rsidR="001615D2" w:rsidRDefault="001615D2" w:rsidP="00EA0BB2">
      <w:pPr>
        <w:pStyle w:val="Default"/>
        <w:jc w:val="center"/>
        <w:rPr>
          <w:bCs/>
          <w:sz w:val="22"/>
          <w:szCs w:val="22"/>
          <w:lang w:val="fr-FR"/>
        </w:rPr>
      </w:pPr>
    </w:p>
    <w:p w14:paraId="0DEF0CBB" w14:textId="3919C5B0" w:rsidR="00EA0BB2" w:rsidRPr="009A3745" w:rsidRDefault="00B3300B" w:rsidP="00B3300B">
      <w:pPr>
        <w:pStyle w:val="Default"/>
        <w:rPr>
          <w:b/>
          <w:bCs/>
          <w:lang w:val="fr-FR"/>
        </w:rPr>
      </w:pPr>
      <w:r w:rsidRPr="009A3745">
        <w:rPr>
          <w:bCs/>
          <w:u w:val="single"/>
          <w:lang w:val="fr-FR"/>
        </w:rPr>
        <w:t>Structure de l’exposé</w:t>
      </w:r>
      <w:r w:rsidR="009A3745">
        <w:rPr>
          <w:bCs/>
          <w:lang w:val="fr-FR"/>
        </w:rPr>
        <w:t xml:space="preserve"> </w:t>
      </w:r>
      <w:r w:rsidR="003E234B" w:rsidRPr="009A3745">
        <w:rPr>
          <w:b/>
          <w:bCs/>
          <w:lang w:val="fr-FR"/>
        </w:rPr>
        <w:t>(Diapos)</w:t>
      </w:r>
    </w:p>
    <w:p w14:paraId="031177C1" w14:textId="77777777" w:rsidR="00B3300B" w:rsidRPr="009A3745" w:rsidRDefault="00B3300B" w:rsidP="00B3300B">
      <w:pPr>
        <w:pStyle w:val="Default"/>
        <w:rPr>
          <w:bCs/>
          <w:u w:val="single"/>
          <w:lang w:val="fr-FR"/>
        </w:rPr>
      </w:pPr>
    </w:p>
    <w:p w14:paraId="6ECB4ADA" w14:textId="5CA76FBB" w:rsidR="005E0765" w:rsidRPr="009A3745" w:rsidRDefault="001A62EA" w:rsidP="005E0765">
      <w:pPr>
        <w:pStyle w:val="Default"/>
        <w:numPr>
          <w:ilvl w:val="0"/>
          <w:numId w:val="2"/>
        </w:numPr>
        <w:rPr>
          <w:bCs/>
          <w:lang w:val="fr-FR"/>
        </w:rPr>
      </w:pPr>
      <w:r w:rsidRPr="009A3745">
        <w:rPr>
          <w:bCs/>
          <w:lang w:val="fr-FR"/>
        </w:rPr>
        <w:t>Rappel des aspects pertinents</w:t>
      </w:r>
      <w:r w:rsidR="003E234B" w:rsidRPr="009A3745">
        <w:rPr>
          <w:bCs/>
          <w:lang w:val="fr-FR"/>
        </w:rPr>
        <w:t xml:space="preserve"> de la</w:t>
      </w:r>
      <w:r w:rsidR="00B3300B" w:rsidRPr="009A3745">
        <w:rPr>
          <w:bCs/>
          <w:lang w:val="fr-FR"/>
        </w:rPr>
        <w:t xml:space="preserve"> carrière : Professeur a l’Ecole Polytechnique ; Equipe fondatrice de la Télé-université ; Vice-recteur, Athabasca University ; Vice-recteur, Université Concordia ; Recteur, Université Laurentienne ; Recteur, Open University (R-U) ; Sous directeur-</w:t>
      </w:r>
      <w:r w:rsidR="002335E7" w:rsidRPr="009A3745">
        <w:rPr>
          <w:bCs/>
          <w:lang w:val="fr-FR"/>
        </w:rPr>
        <w:t>gé</w:t>
      </w:r>
      <w:r w:rsidR="00054C5B" w:rsidRPr="009A3745">
        <w:rPr>
          <w:bCs/>
          <w:lang w:val="fr-FR"/>
        </w:rPr>
        <w:t xml:space="preserve">néral </w:t>
      </w:r>
      <w:r w:rsidR="00054C5B" w:rsidRPr="009A3745">
        <w:rPr>
          <w:lang w:val="fr-FR"/>
        </w:rPr>
        <w:t>à</w:t>
      </w:r>
      <w:r w:rsidR="002335E7" w:rsidRPr="009A3745">
        <w:rPr>
          <w:bCs/>
          <w:lang w:val="fr-FR"/>
        </w:rPr>
        <w:t xml:space="preserve"> l’Education, UNESCO ; Président, Commonwealth of Learning. </w:t>
      </w:r>
      <w:r w:rsidR="003E234B" w:rsidRPr="009A3745">
        <w:rPr>
          <w:bCs/>
          <w:lang w:val="fr-FR"/>
        </w:rPr>
        <w:br/>
      </w:r>
      <w:r w:rsidR="00B11FEC" w:rsidRPr="009A3745">
        <w:rPr>
          <w:bCs/>
          <w:lang w:val="fr-FR"/>
        </w:rPr>
        <w:t xml:space="preserve">Livres : </w:t>
      </w:r>
      <w:r w:rsidR="00B11FEC" w:rsidRPr="009A3745">
        <w:rPr>
          <w:bCs/>
          <w:i/>
          <w:lang w:val="en-GB"/>
        </w:rPr>
        <w:t xml:space="preserve">Mega-universities and Knowledge Media : Technology Strategies for Higher Education </w:t>
      </w:r>
      <w:r w:rsidR="003E234B" w:rsidRPr="009A3745">
        <w:rPr>
          <w:bCs/>
          <w:lang w:val="en-GB"/>
        </w:rPr>
        <w:t>(1996)</w:t>
      </w:r>
      <w:r w:rsidR="00B11FEC" w:rsidRPr="009A3745">
        <w:rPr>
          <w:bCs/>
          <w:lang w:val="en-GB"/>
        </w:rPr>
        <w:t xml:space="preserve">; </w:t>
      </w:r>
      <w:r w:rsidR="00B11FEC" w:rsidRPr="009A3745">
        <w:rPr>
          <w:bCs/>
          <w:i/>
          <w:lang w:val="en-GB"/>
        </w:rPr>
        <w:t>Mega-schools, technology and teachers : Achieving Education for All</w:t>
      </w:r>
      <w:r w:rsidR="003E234B" w:rsidRPr="009A3745">
        <w:rPr>
          <w:bCs/>
          <w:i/>
          <w:lang w:val="en-GB"/>
        </w:rPr>
        <w:t xml:space="preserve"> </w:t>
      </w:r>
      <w:r w:rsidR="003E234B" w:rsidRPr="009A3745">
        <w:rPr>
          <w:bCs/>
          <w:lang w:val="en-GB"/>
        </w:rPr>
        <w:t>(2010)</w:t>
      </w:r>
      <w:r w:rsidR="003E234B" w:rsidRPr="009A3745">
        <w:rPr>
          <w:bCs/>
          <w:i/>
          <w:lang w:val="en-GB"/>
        </w:rPr>
        <w:t xml:space="preserve">. </w:t>
      </w:r>
      <w:r w:rsidR="003E234B" w:rsidRPr="009A3745">
        <w:rPr>
          <w:b/>
          <w:bCs/>
          <w:lang w:val="en-GB"/>
        </w:rPr>
        <w:t>(2)</w:t>
      </w:r>
    </w:p>
    <w:p w14:paraId="13C6FC08" w14:textId="44E3065C" w:rsidR="005E0765" w:rsidRPr="009A3745" w:rsidRDefault="005E0765" w:rsidP="005E0765">
      <w:pPr>
        <w:pStyle w:val="Default"/>
        <w:numPr>
          <w:ilvl w:val="0"/>
          <w:numId w:val="2"/>
        </w:numPr>
        <w:rPr>
          <w:bCs/>
          <w:lang w:val="fr-FR"/>
        </w:rPr>
      </w:pPr>
      <w:r w:rsidRPr="009A3745">
        <w:rPr>
          <w:bCs/>
          <w:lang w:val="fr-FR"/>
        </w:rPr>
        <w:t>Notions centrales et perspectives théoriques :</w:t>
      </w:r>
      <w:r w:rsidRPr="009A3745">
        <w:rPr>
          <w:bCs/>
          <w:lang w:val="fr-FR"/>
        </w:rPr>
        <w:br/>
        <w:t xml:space="preserve">- </w:t>
      </w:r>
      <w:r w:rsidRPr="009A3745">
        <w:rPr>
          <w:bCs/>
          <w:i/>
          <w:lang w:val="fr-FR"/>
        </w:rPr>
        <w:t xml:space="preserve">Le triangle de fer : </w:t>
      </w:r>
      <w:r w:rsidRPr="009A3745">
        <w:rPr>
          <w:bCs/>
          <w:lang w:val="fr-FR"/>
        </w:rPr>
        <w:t>Accès ; qualité ;</w:t>
      </w:r>
      <w:r w:rsidR="00CD239F" w:rsidRPr="009A3745">
        <w:rPr>
          <w:bCs/>
          <w:lang w:val="fr-FR"/>
        </w:rPr>
        <w:t xml:space="preserve"> coû</w:t>
      </w:r>
      <w:r w:rsidRPr="009A3745">
        <w:rPr>
          <w:bCs/>
          <w:lang w:val="fr-FR"/>
        </w:rPr>
        <w:t>t</w:t>
      </w:r>
      <w:r w:rsidR="003E234B" w:rsidRPr="009A3745">
        <w:rPr>
          <w:bCs/>
          <w:lang w:val="fr-FR"/>
        </w:rPr>
        <w:t xml:space="preserve"> </w:t>
      </w:r>
      <w:r w:rsidR="003E234B" w:rsidRPr="009A3745">
        <w:rPr>
          <w:b/>
          <w:bCs/>
          <w:lang w:val="fr-FR"/>
        </w:rPr>
        <w:t>(3, 4, 5)</w:t>
      </w:r>
      <w:r w:rsidRPr="009A3745">
        <w:rPr>
          <w:bCs/>
          <w:i/>
          <w:lang w:val="fr-FR"/>
        </w:rPr>
        <w:br/>
        <w:t>-</w:t>
      </w:r>
      <w:r w:rsidRPr="009A3745">
        <w:rPr>
          <w:bCs/>
          <w:lang w:val="fr-FR"/>
        </w:rPr>
        <w:t xml:space="preserve"> </w:t>
      </w:r>
      <w:r w:rsidRPr="009A3745">
        <w:rPr>
          <w:bCs/>
          <w:i/>
          <w:lang w:val="fr-FR"/>
        </w:rPr>
        <w:t xml:space="preserve">Le tabouret </w:t>
      </w:r>
      <w:r w:rsidR="00CD239F" w:rsidRPr="009A3745">
        <w:rPr>
          <w:bCs/>
          <w:i/>
          <w:lang w:val="fr-FR"/>
        </w:rPr>
        <w:t xml:space="preserve">à </w:t>
      </w:r>
      <w:r w:rsidRPr="009A3745">
        <w:rPr>
          <w:bCs/>
          <w:i/>
          <w:lang w:val="fr-FR"/>
        </w:rPr>
        <w:t>trois pattes </w:t>
      </w:r>
      <w:r w:rsidRPr="009A3745">
        <w:rPr>
          <w:bCs/>
          <w:lang w:val="fr-FR"/>
        </w:rPr>
        <w:t>: Matériel pédagogique ; support aux étudiants ; administration/logistique</w:t>
      </w:r>
      <w:r w:rsidR="003E234B" w:rsidRPr="009A3745">
        <w:rPr>
          <w:bCs/>
          <w:lang w:val="fr-FR"/>
        </w:rPr>
        <w:t xml:space="preserve"> </w:t>
      </w:r>
      <w:r w:rsidR="003E234B" w:rsidRPr="009A3745">
        <w:rPr>
          <w:b/>
          <w:bCs/>
          <w:lang w:val="fr-FR"/>
        </w:rPr>
        <w:t>(6).</w:t>
      </w:r>
    </w:p>
    <w:p w14:paraId="05664DF8" w14:textId="05EB5D3E" w:rsidR="00CD239F" w:rsidRPr="009A3745" w:rsidRDefault="00CD239F" w:rsidP="005E0765">
      <w:pPr>
        <w:pStyle w:val="Default"/>
        <w:numPr>
          <w:ilvl w:val="0"/>
          <w:numId w:val="2"/>
        </w:numPr>
        <w:rPr>
          <w:bCs/>
          <w:lang w:val="fr-FR"/>
        </w:rPr>
      </w:pPr>
      <w:r w:rsidRPr="009A3745">
        <w:rPr>
          <w:bCs/>
          <w:lang w:val="fr-FR"/>
        </w:rPr>
        <w:t xml:space="preserve">Impact sur l’expérience étudiant : plus de flexibilité (ce qui exige plus </w:t>
      </w:r>
      <w:r w:rsidR="00C049D1">
        <w:rPr>
          <w:bCs/>
          <w:lang w:val="fr-FR"/>
        </w:rPr>
        <w:t>d’</w:t>
      </w:r>
      <w:bookmarkStart w:id="0" w:name="_GoBack"/>
      <w:bookmarkEnd w:id="0"/>
      <w:r w:rsidRPr="009A3745">
        <w:rPr>
          <w:bCs/>
          <w:lang w:val="fr-FR"/>
        </w:rPr>
        <w:t xml:space="preserve">indépendance) </w:t>
      </w:r>
      <w:r w:rsidRPr="009A3745">
        <w:rPr>
          <w:bCs/>
          <w:lang w:val="fr-FR"/>
        </w:rPr>
        <w:br/>
        <w:t xml:space="preserve">Impact sur la tâche d’enseignement : de l’industrie artisanale </w:t>
      </w:r>
      <w:r w:rsidRPr="009A3745">
        <w:rPr>
          <w:lang w:val="fr-FR"/>
        </w:rPr>
        <w:t>à</w:t>
      </w:r>
      <w:r w:rsidRPr="009A3745">
        <w:rPr>
          <w:bCs/>
          <w:lang w:val="fr-FR"/>
        </w:rPr>
        <w:t xml:space="preserve"> la division des tâches.</w:t>
      </w:r>
      <w:r w:rsidR="003E234B" w:rsidRPr="009A3745">
        <w:rPr>
          <w:bCs/>
          <w:lang w:val="fr-FR"/>
        </w:rPr>
        <w:t xml:space="preserve"> </w:t>
      </w:r>
      <w:r w:rsidR="009A3745">
        <w:rPr>
          <w:b/>
          <w:bCs/>
          <w:lang w:val="fr-FR"/>
        </w:rPr>
        <w:t>(7</w:t>
      </w:r>
      <w:r w:rsidR="003E234B" w:rsidRPr="009A3745">
        <w:rPr>
          <w:b/>
          <w:bCs/>
          <w:lang w:val="fr-FR"/>
        </w:rPr>
        <w:t>,</w:t>
      </w:r>
      <w:r w:rsidR="009A3745">
        <w:rPr>
          <w:b/>
          <w:bCs/>
          <w:lang w:val="fr-FR"/>
        </w:rPr>
        <w:t xml:space="preserve"> </w:t>
      </w:r>
      <w:r w:rsidR="003E234B" w:rsidRPr="009A3745">
        <w:rPr>
          <w:b/>
          <w:bCs/>
          <w:lang w:val="fr-FR"/>
        </w:rPr>
        <w:t>8)</w:t>
      </w:r>
    </w:p>
    <w:p w14:paraId="2175165D" w14:textId="4E287F9D" w:rsidR="00625ADE" w:rsidRPr="009A3745" w:rsidRDefault="00CD239F" w:rsidP="005E0765">
      <w:pPr>
        <w:pStyle w:val="Default"/>
        <w:numPr>
          <w:ilvl w:val="0"/>
          <w:numId w:val="2"/>
        </w:numPr>
        <w:rPr>
          <w:bCs/>
          <w:lang w:val="fr-FR"/>
        </w:rPr>
      </w:pPr>
      <w:r w:rsidRPr="009A3745">
        <w:rPr>
          <w:bCs/>
          <w:lang w:val="fr-FR"/>
        </w:rPr>
        <w:t>Les MOOCs ne sont pas de l’enseignement sup</w:t>
      </w:r>
      <w:r w:rsidR="00625ADE" w:rsidRPr="009A3745">
        <w:rPr>
          <w:bCs/>
          <w:lang w:val="fr-FR"/>
        </w:rPr>
        <w:t xml:space="preserve">érieur car ils ne mènent pas </w:t>
      </w:r>
      <w:r w:rsidR="00625ADE" w:rsidRPr="009A3745">
        <w:rPr>
          <w:lang w:val="fr-FR"/>
        </w:rPr>
        <w:t xml:space="preserve">à la diplomation. </w:t>
      </w:r>
      <w:r w:rsidR="003E234B" w:rsidRPr="009A3745">
        <w:rPr>
          <w:b/>
          <w:lang w:val="fr-FR"/>
        </w:rPr>
        <w:t>(9</w:t>
      </w:r>
      <w:proofErr w:type="gramStart"/>
      <w:r w:rsidR="003E234B" w:rsidRPr="009A3745">
        <w:rPr>
          <w:b/>
          <w:lang w:val="fr-FR"/>
        </w:rPr>
        <w:t>)</w:t>
      </w:r>
      <w:proofErr w:type="gramEnd"/>
      <w:r w:rsidR="003E234B" w:rsidRPr="009A3745">
        <w:rPr>
          <w:b/>
          <w:lang w:val="fr-FR"/>
        </w:rPr>
        <w:br/>
      </w:r>
      <w:r w:rsidR="009A3745">
        <w:rPr>
          <w:lang w:val="fr-FR"/>
        </w:rPr>
        <w:t>Mais</w:t>
      </w:r>
      <w:r w:rsidR="00625ADE" w:rsidRPr="009A3745">
        <w:rPr>
          <w:lang w:val="fr-FR"/>
        </w:rPr>
        <w:t xml:space="preserve"> les MOOCs ont </w:t>
      </w:r>
      <w:r w:rsidR="003E234B" w:rsidRPr="009A3745">
        <w:rPr>
          <w:lang w:val="fr-FR"/>
        </w:rPr>
        <w:t>incité</w:t>
      </w:r>
      <w:r w:rsidR="00625ADE" w:rsidRPr="009A3745">
        <w:rPr>
          <w:lang w:val="fr-FR"/>
        </w:rPr>
        <w:t xml:space="preserve"> les universités à prendre au sérieux l’enseignement en ligne.</w:t>
      </w:r>
      <w:r w:rsidR="003E234B" w:rsidRPr="009A3745">
        <w:rPr>
          <w:lang w:val="fr-FR"/>
        </w:rPr>
        <w:t xml:space="preserve"> </w:t>
      </w:r>
      <w:r w:rsidR="003E234B" w:rsidRPr="009A3745">
        <w:rPr>
          <w:b/>
          <w:lang w:val="fr-FR"/>
        </w:rPr>
        <w:t>(10-15)</w:t>
      </w:r>
    </w:p>
    <w:p w14:paraId="1BA05C92" w14:textId="39EEA61D" w:rsidR="00492AB1" w:rsidRPr="009A3745" w:rsidRDefault="00625ADE" w:rsidP="005E0765">
      <w:pPr>
        <w:pStyle w:val="Default"/>
        <w:numPr>
          <w:ilvl w:val="0"/>
          <w:numId w:val="2"/>
        </w:numPr>
        <w:rPr>
          <w:bCs/>
          <w:lang w:val="fr-FR"/>
        </w:rPr>
      </w:pPr>
      <w:r w:rsidRPr="009A3745">
        <w:rPr>
          <w:lang w:val="fr-FR"/>
        </w:rPr>
        <w:t>Les motivations : diversification ; pertinence au monde du travail ; modernité…</w:t>
      </w:r>
      <w:r w:rsidRPr="009A3745">
        <w:rPr>
          <w:lang w:val="fr-FR"/>
        </w:rPr>
        <w:br/>
        <w:t xml:space="preserve">Freins institutionnels : </w:t>
      </w:r>
      <w:r w:rsidR="00492AB1" w:rsidRPr="009A3745">
        <w:rPr>
          <w:lang w:val="fr-FR"/>
        </w:rPr>
        <w:t xml:space="preserve">comment instaurer une </w:t>
      </w:r>
      <w:r w:rsidRPr="009A3745">
        <w:rPr>
          <w:lang w:val="fr-FR"/>
        </w:rPr>
        <w:t>subsidiarité</w:t>
      </w:r>
      <w:r w:rsidR="00CB1D55" w:rsidRPr="009A3745">
        <w:rPr>
          <w:lang w:val="fr-FR"/>
        </w:rPr>
        <w:t xml:space="preserve"> et les partenariats</w:t>
      </w:r>
      <w:r w:rsidRPr="009A3745">
        <w:rPr>
          <w:lang w:val="fr-FR"/>
        </w:rPr>
        <w:t xml:space="preserve"> approprié</w:t>
      </w:r>
      <w:r w:rsidR="00CB1D55" w:rsidRPr="009A3745">
        <w:rPr>
          <w:lang w:val="fr-FR"/>
        </w:rPr>
        <w:t>s</w:t>
      </w:r>
      <w:r w:rsidR="00492AB1" w:rsidRPr="009A3745">
        <w:rPr>
          <w:lang w:val="fr-FR"/>
        </w:rPr>
        <w:t> ?</w:t>
      </w:r>
      <w:r w:rsidR="00CB1D55" w:rsidRPr="009A3745">
        <w:rPr>
          <w:lang w:val="fr-FR"/>
        </w:rPr>
        <w:t xml:space="preserve"> </w:t>
      </w:r>
      <w:r w:rsidR="00CB1D55" w:rsidRPr="009A3745">
        <w:rPr>
          <w:b/>
          <w:lang w:val="fr-FR"/>
        </w:rPr>
        <w:t>(16</w:t>
      </w:r>
      <w:proofErr w:type="gramStart"/>
      <w:r w:rsidR="00CB1D55" w:rsidRPr="009A3745">
        <w:rPr>
          <w:b/>
          <w:lang w:val="fr-FR"/>
        </w:rPr>
        <w:t>)</w:t>
      </w:r>
      <w:proofErr w:type="gramEnd"/>
      <w:r w:rsidR="00492AB1" w:rsidRPr="009A3745">
        <w:rPr>
          <w:lang w:val="fr-FR"/>
        </w:rPr>
        <w:br/>
        <w:t>Coûts : comment réaliser les économies d’échelle ?</w:t>
      </w:r>
    </w:p>
    <w:p w14:paraId="0CEB7B61" w14:textId="43AE7BD6" w:rsidR="00492AB1" w:rsidRPr="009A3745" w:rsidRDefault="00492AB1" w:rsidP="00492AB1">
      <w:pPr>
        <w:pStyle w:val="Default"/>
        <w:numPr>
          <w:ilvl w:val="0"/>
          <w:numId w:val="2"/>
        </w:numPr>
        <w:rPr>
          <w:bCs/>
          <w:lang w:val="fr-FR"/>
        </w:rPr>
      </w:pPr>
      <w:r w:rsidRPr="009A3745">
        <w:rPr>
          <w:lang w:val="fr-FR"/>
        </w:rPr>
        <w:t>Les enjeux des nouveaux modes de formation :</w:t>
      </w:r>
      <w:r w:rsidRPr="009A3745">
        <w:rPr>
          <w:bCs/>
          <w:lang w:val="fr-FR"/>
        </w:rPr>
        <w:br/>
        <w:t>- Axer l’assurance de qualité sur l’évaluation des connaissances et la diplomation</w:t>
      </w:r>
      <w:r w:rsidR="003E234B" w:rsidRPr="009A3745">
        <w:rPr>
          <w:bCs/>
          <w:lang w:val="fr-FR"/>
        </w:rPr>
        <w:t xml:space="preserve"> </w:t>
      </w:r>
      <w:r w:rsidR="00CB1D55" w:rsidRPr="009A3745">
        <w:rPr>
          <w:b/>
          <w:bCs/>
          <w:lang w:val="fr-FR"/>
        </w:rPr>
        <w:t>(17-20)</w:t>
      </w:r>
      <w:r w:rsidRPr="009A3745">
        <w:rPr>
          <w:bCs/>
          <w:lang w:val="fr-FR"/>
        </w:rPr>
        <w:br/>
        <w:t>- La propriété intellectuelle</w:t>
      </w:r>
      <w:r w:rsidR="00625ADE" w:rsidRPr="009A3745">
        <w:rPr>
          <w:lang w:val="fr-FR"/>
        </w:rPr>
        <w:t xml:space="preserve"> </w:t>
      </w:r>
      <w:r w:rsidRPr="009A3745">
        <w:rPr>
          <w:lang w:val="fr-FR"/>
        </w:rPr>
        <w:t>à l’ère de ressources éducatives libres.</w:t>
      </w:r>
    </w:p>
    <w:p w14:paraId="0AFEF3BD" w14:textId="5CF39105" w:rsidR="00A17B40" w:rsidRPr="009A3745" w:rsidRDefault="00492AB1" w:rsidP="00492AB1">
      <w:pPr>
        <w:pStyle w:val="Default"/>
        <w:numPr>
          <w:ilvl w:val="0"/>
          <w:numId w:val="2"/>
        </w:numPr>
        <w:rPr>
          <w:bCs/>
          <w:lang w:val="fr-FR"/>
        </w:rPr>
      </w:pPr>
      <w:r w:rsidRPr="009A3745">
        <w:rPr>
          <w:lang w:val="fr-FR"/>
        </w:rPr>
        <w:t>Formations en ligne venant de l’extérieur :</w:t>
      </w:r>
      <w:r w:rsidRPr="009A3745">
        <w:rPr>
          <w:lang w:val="fr-FR"/>
        </w:rPr>
        <w:br/>
        <w:t>- Convergence vers une culture pédagogique francophone ?</w:t>
      </w:r>
      <w:r w:rsidR="00CB1D55" w:rsidRPr="009A3745">
        <w:rPr>
          <w:lang w:val="fr-FR"/>
        </w:rPr>
        <w:t xml:space="preserve"> </w:t>
      </w:r>
      <w:r w:rsidR="00CB1D55" w:rsidRPr="009A3745">
        <w:rPr>
          <w:b/>
          <w:lang w:val="fr-FR"/>
        </w:rPr>
        <w:t>(21)</w:t>
      </w:r>
      <w:r w:rsidRPr="009A3745">
        <w:rPr>
          <w:lang w:val="fr-FR"/>
        </w:rPr>
        <w:br/>
        <w:t xml:space="preserve">- Les Québecois face </w:t>
      </w:r>
      <w:r w:rsidR="00A17B40" w:rsidRPr="009A3745">
        <w:rPr>
          <w:lang w:val="fr-FR"/>
        </w:rPr>
        <w:t>à la mer de formations en ligne en anglais.</w:t>
      </w:r>
      <w:r w:rsidRPr="009A3745">
        <w:rPr>
          <w:lang w:val="fr-FR"/>
        </w:rPr>
        <w:t xml:space="preserve"> </w:t>
      </w:r>
    </w:p>
    <w:p w14:paraId="49EAB02D" w14:textId="6FB790F8" w:rsidR="00A17B40" w:rsidRPr="009A3745" w:rsidRDefault="00A17B40" w:rsidP="00492AB1">
      <w:pPr>
        <w:pStyle w:val="Default"/>
        <w:numPr>
          <w:ilvl w:val="0"/>
          <w:numId w:val="2"/>
        </w:numPr>
        <w:rPr>
          <w:bCs/>
          <w:lang w:val="fr-FR"/>
        </w:rPr>
      </w:pPr>
      <w:r w:rsidRPr="009A3745">
        <w:rPr>
          <w:lang w:val="fr-FR"/>
        </w:rPr>
        <w:t>Création de ressources éducatives libres – une impérative pour le Québec !</w:t>
      </w:r>
      <w:r w:rsidR="00492AB1" w:rsidRPr="009A3745">
        <w:rPr>
          <w:lang w:val="fr-FR"/>
        </w:rPr>
        <w:t xml:space="preserve"> </w:t>
      </w:r>
      <w:r w:rsidR="00CB1D55" w:rsidRPr="009A3745">
        <w:rPr>
          <w:b/>
          <w:lang w:val="fr-FR"/>
        </w:rPr>
        <w:t>(22-23)</w:t>
      </w:r>
    </w:p>
    <w:p w14:paraId="6BEE3A7C" w14:textId="184E8631" w:rsidR="00A17B40" w:rsidRPr="009A3745" w:rsidRDefault="00A17B40" w:rsidP="00492AB1">
      <w:pPr>
        <w:pStyle w:val="Default"/>
        <w:numPr>
          <w:ilvl w:val="0"/>
          <w:numId w:val="2"/>
        </w:numPr>
        <w:rPr>
          <w:bCs/>
          <w:lang w:val="fr-FR"/>
        </w:rPr>
      </w:pPr>
      <w:r w:rsidRPr="009A3745">
        <w:rPr>
          <w:lang w:val="fr-FR"/>
        </w:rPr>
        <w:t>Les MOOCs : passer directement à l enseignement régulier en ligne !</w:t>
      </w:r>
      <w:r w:rsidR="00CB1D55" w:rsidRPr="009A3745">
        <w:rPr>
          <w:lang w:val="fr-FR"/>
        </w:rPr>
        <w:t xml:space="preserve"> </w:t>
      </w:r>
      <w:r w:rsidR="00CB1D55" w:rsidRPr="009A3745">
        <w:rPr>
          <w:b/>
          <w:lang w:val="fr-FR"/>
        </w:rPr>
        <w:t>(14)</w:t>
      </w:r>
    </w:p>
    <w:p w14:paraId="502BDD70" w14:textId="0CE9A9C9" w:rsidR="00B3300B" w:rsidRPr="00492AB1" w:rsidRDefault="00A17B40" w:rsidP="00492AB1">
      <w:pPr>
        <w:pStyle w:val="Default"/>
        <w:numPr>
          <w:ilvl w:val="0"/>
          <w:numId w:val="2"/>
        </w:numPr>
        <w:rPr>
          <w:bCs/>
          <w:sz w:val="22"/>
          <w:szCs w:val="22"/>
          <w:lang w:val="fr-FR"/>
        </w:rPr>
      </w:pPr>
      <w:r w:rsidRPr="009A3745">
        <w:rPr>
          <w:lang w:val="fr-FR"/>
        </w:rPr>
        <w:t xml:space="preserve">Recommandation au Ministère : créer un fonds pour l’expérimentation avec des </w:t>
      </w:r>
      <w:r w:rsidR="001A62EA" w:rsidRPr="009A3745">
        <w:rPr>
          <w:lang w:val="fr-FR"/>
        </w:rPr>
        <w:t xml:space="preserve">critères exigeants relatifs, par exemple, aux couts unitaires, collaboration interuniversitaire, collaboration avec le monde du travail… </w:t>
      </w:r>
      <w:r w:rsidRPr="009A3745">
        <w:rPr>
          <w:lang w:val="fr-FR"/>
        </w:rPr>
        <w:t xml:space="preserve"> </w:t>
      </w:r>
      <w:r w:rsidR="00492AB1" w:rsidRPr="009A3745">
        <w:rPr>
          <w:lang w:val="fr-FR"/>
        </w:rPr>
        <w:t xml:space="preserve"> </w:t>
      </w:r>
      <w:r w:rsidR="00625ADE" w:rsidRPr="009A3745">
        <w:rPr>
          <w:lang w:val="fr-FR"/>
        </w:rPr>
        <w:t xml:space="preserve"> </w:t>
      </w:r>
      <w:r w:rsidR="00625ADE" w:rsidRPr="009A3745">
        <w:rPr>
          <w:bCs/>
          <w:lang w:val="fr-FR"/>
        </w:rPr>
        <w:t xml:space="preserve">  </w:t>
      </w:r>
      <w:r w:rsidR="005E0765" w:rsidRPr="009A3745">
        <w:rPr>
          <w:bCs/>
          <w:i/>
          <w:lang w:val="fr-FR"/>
        </w:rPr>
        <w:br/>
      </w:r>
      <w:r w:rsidR="00B3300B" w:rsidRPr="00492AB1">
        <w:rPr>
          <w:bCs/>
          <w:sz w:val="22"/>
          <w:szCs w:val="22"/>
          <w:lang w:val="fr-FR"/>
        </w:rPr>
        <w:t xml:space="preserve">  </w:t>
      </w:r>
    </w:p>
    <w:p w14:paraId="6D320452" w14:textId="77777777" w:rsidR="00EA0BB2" w:rsidRDefault="00EA0BB2" w:rsidP="000742B1">
      <w:pPr>
        <w:pStyle w:val="Default"/>
        <w:spacing w:after="155"/>
        <w:rPr>
          <w:sz w:val="22"/>
          <w:szCs w:val="22"/>
          <w:lang w:val="fr-FR"/>
        </w:rPr>
      </w:pPr>
    </w:p>
    <w:p w14:paraId="2D5D36A6" w14:textId="77777777" w:rsidR="00EA0BB2" w:rsidRDefault="00EA0BB2" w:rsidP="000742B1">
      <w:pPr>
        <w:pStyle w:val="Default"/>
        <w:rPr>
          <w:sz w:val="22"/>
          <w:szCs w:val="22"/>
          <w:lang w:val="fr-FR"/>
        </w:rPr>
      </w:pPr>
    </w:p>
    <w:p w14:paraId="34CC4ED6" w14:textId="77777777" w:rsidR="00EA0BB2" w:rsidRDefault="00EA0BB2" w:rsidP="00EA0BB2">
      <w:pPr>
        <w:pStyle w:val="Default"/>
      </w:pPr>
    </w:p>
    <w:p w14:paraId="1CF9439B" w14:textId="77777777" w:rsidR="00EA0BB2" w:rsidRDefault="00EA0BB2" w:rsidP="00EA0BB2">
      <w:pPr>
        <w:pStyle w:val="Default"/>
      </w:pPr>
      <w:r>
        <w:t xml:space="preserve"> </w:t>
      </w:r>
    </w:p>
    <w:p w14:paraId="6C0657FE" w14:textId="77777777" w:rsidR="00EA0BB2" w:rsidRPr="000742B1" w:rsidRDefault="00EA0BB2" w:rsidP="000742B1">
      <w:pPr>
        <w:pStyle w:val="Default"/>
        <w:rPr>
          <w:sz w:val="22"/>
          <w:szCs w:val="22"/>
          <w:lang w:val="fr-FR"/>
        </w:rPr>
      </w:pPr>
    </w:p>
    <w:p w14:paraId="31584AE8" w14:textId="77777777" w:rsidR="00DD3D03" w:rsidRPr="000742B1" w:rsidRDefault="00DD3D03">
      <w:pPr>
        <w:rPr>
          <w:lang w:val="fr-FR"/>
        </w:rPr>
      </w:pPr>
    </w:p>
    <w:sectPr w:rsidR="00DD3D03" w:rsidRPr="000742B1" w:rsidSect="00B752F5">
      <w:pgSz w:w="11906" w:h="17338"/>
      <w:pgMar w:top="1176" w:right="606" w:bottom="410" w:left="90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67380"/>
    <w:multiLevelType w:val="hybridMultilevel"/>
    <w:tmpl w:val="9A705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B93CCB"/>
    <w:multiLevelType w:val="hybridMultilevel"/>
    <w:tmpl w:val="F23A441C"/>
    <w:lvl w:ilvl="0" w:tplc="48288A80">
      <w:numFmt w:val="bullet"/>
      <w:lvlText w:val="-"/>
      <w:lvlJc w:val="left"/>
      <w:pPr>
        <w:ind w:left="720" w:hanging="360"/>
      </w:pPr>
      <w:rPr>
        <w:rFonts w:ascii="Courier New" w:eastAsiaTheme="minorEastAsia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2B1"/>
    <w:rsid w:val="00054C5B"/>
    <w:rsid w:val="000742B1"/>
    <w:rsid w:val="001615D2"/>
    <w:rsid w:val="001A62EA"/>
    <w:rsid w:val="002335E7"/>
    <w:rsid w:val="003E234B"/>
    <w:rsid w:val="00492AB1"/>
    <w:rsid w:val="005E0765"/>
    <w:rsid w:val="00625ADE"/>
    <w:rsid w:val="00803F67"/>
    <w:rsid w:val="009A3745"/>
    <w:rsid w:val="00A17B40"/>
    <w:rsid w:val="00B11FEC"/>
    <w:rsid w:val="00B3300B"/>
    <w:rsid w:val="00B752F5"/>
    <w:rsid w:val="00C049D1"/>
    <w:rsid w:val="00CB1D55"/>
    <w:rsid w:val="00CD239F"/>
    <w:rsid w:val="00DD3D03"/>
    <w:rsid w:val="00E74FBB"/>
    <w:rsid w:val="00EA0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F757A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742B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B752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742B1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B752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355</Words>
  <Characters>2030</Characters>
  <Application>Microsoft Macintosh Word</Application>
  <DocSecurity>0</DocSecurity>
  <Lines>16</Lines>
  <Paragraphs>4</Paragraphs>
  <ScaleCrop>false</ScaleCrop>
  <Company>ODLSirJohn Services Ltd.</Company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Daniel</dc:creator>
  <cp:keywords/>
  <dc:description/>
  <cp:lastModifiedBy>John Daniel</cp:lastModifiedBy>
  <cp:revision>8</cp:revision>
  <cp:lastPrinted>2014-08-05T23:02:00Z</cp:lastPrinted>
  <dcterms:created xsi:type="dcterms:W3CDTF">2014-08-05T16:46:00Z</dcterms:created>
  <dcterms:modified xsi:type="dcterms:W3CDTF">2014-08-05T23:20:00Z</dcterms:modified>
</cp:coreProperties>
</file>